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1888" w:rsidRPr="00B31888" w:rsidRDefault="00B31888" w:rsidP="00B31888">
      <w:pPr>
        <w:jc w:val="center"/>
        <w:rPr>
          <w:sz w:val="32"/>
        </w:rPr>
      </w:pPr>
      <w:r w:rsidRPr="00B31888">
        <w:rPr>
          <w:b/>
          <w:bCs/>
          <w:sz w:val="32"/>
        </w:rPr>
        <w:t>Sentenza TAR Umbria n. 193 del 27 aprile 2005</w:t>
      </w:r>
    </w:p>
    <w:p w:rsidR="00B31888" w:rsidRDefault="00B31888" w:rsidP="00B31888">
      <w:pPr>
        <w:jc w:val="both"/>
      </w:pPr>
    </w:p>
    <w:p w:rsidR="00B31888" w:rsidRDefault="00B31888" w:rsidP="00B31888">
      <w:pPr>
        <w:jc w:val="both"/>
      </w:pPr>
    </w:p>
    <w:p w:rsidR="00B31888" w:rsidRDefault="00B31888" w:rsidP="00B31888">
      <w:pPr>
        <w:jc w:val="both"/>
      </w:pPr>
      <w:r>
        <w:t xml:space="preserve">Pronuncia del TAR Umbria in merito ad un ricorso presentato dal WWF contro un provvedimento di diniego da parte della Prefettura alla richiesta di rinnovo del decreto di approvazione presentato da una guardia giurata volontaria. Nella sentenza si legge: il riesame del provvedimento impugnato dovrà essere effettuato anche alla luce della sopravvenuta L. 189 del 20 luglio 2004 (pur invocata dalla difesa della ricorrente); ciò, al fine di verificare l’attuale possibilità ed anche l’attuale opportunità di rilasciare un’autorizzazione di polizia come quella di specie (che comporta l’acquisizione di una qualifica di rilevanza anche penale ex artt. 55 e 57 </w:t>
      </w:r>
      <w:proofErr w:type="spellStart"/>
      <w:r>
        <w:t>c.p.p.</w:t>
      </w:r>
      <w:proofErr w:type="spellEnd"/>
      <w:r>
        <w:t>), tenuto conto (fra l’altro) non solo e non tanto dei compiti di vigilanza riferiti agli “animali di affezione” ma anche dei più generali compiti di vigilanza che detta legge prevede per assicurare il divieto di maltrattamento degli animali.</w:t>
      </w:r>
    </w:p>
    <w:p w:rsidR="00B31888" w:rsidRDefault="00B31888" w:rsidP="00B31888">
      <w:pPr>
        <w:jc w:val="both"/>
      </w:pPr>
    </w:p>
    <w:p w:rsidR="00B31888" w:rsidRDefault="00B31888" w:rsidP="00B31888">
      <w:pPr>
        <w:jc w:val="both"/>
      </w:pPr>
      <w:r>
        <w:t xml:space="preserve">Non solo animali d’affezione, quindi, ma anche </w:t>
      </w:r>
      <w:r>
        <w:rPr>
          <w:b/>
          <w:bCs/>
        </w:rPr>
        <w:t>vigilanza in senso lato</w:t>
      </w:r>
      <w:r>
        <w:t xml:space="preserve"> per prevenire e reprimere i maltrattamenti agli animali.</w:t>
      </w:r>
    </w:p>
    <w:p w:rsidR="00E773DF" w:rsidRDefault="00E773DF" w:rsidP="00B31888">
      <w:pPr>
        <w:jc w:val="both"/>
      </w:pPr>
    </w:p>
    <w:sectPr w:rsidR="00E773DF" w:rsidSect="00E773DF">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savePreviewPicture/>
  <w:compat/>
  <w:rsids>
    <w:rsidRoot w:val="00B31888"/>
    <w:rsid w:val="0009559A"/>
    <w:rsid w:val="00B31888"/>
    <w:rsid w:val="00E773D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HAnsi"/>
        <w:color w:val="000000"/>
        <w:sz w:val="24"/>
        <w:szCs w:val="24"/>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31888"/>
    <w:pPr>
      <w:spacing w:after="0" w:line="240" w:lineRule="auto"/>
    </w:pPr>
    <w:rPr>
      <w:rFonts w:ascii="Times New Roman" w:hAnsi="Times New Roman" w:cs="Times New Roman"/>
      <w:color w:val="auto"/>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78979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161</Words>
  <Characters>924</Characters>
  <Application>Microsoft Office Word</Application>
  <DocSecurity>0</DocSecurity>
  <Lines>7</Lines>
  <Paragraphs>2</Paragraphs>
  <ScaleCrop>false</ScaleCrop>
  <Company>OIPA</Company>
  <LinksUpToDate>false</LinksUpToDate>
  <CharactersWithSpaces>1083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 Pradella</dc:creator>
  <cp:lastModifiedBy>Max Pradella</cp:lastModifiedBy>
  <cp:revision>1</cp:revision>
  <dcterms:created xsi:type="dcterms:W3CDTF">2011-05-26T13:40:00Z</dcterms:created>
  <dcterms:modified xsi:type="dcterms:W3CDTF">2011-05-26T13:41:00Z</dcterms:modified>
</cp:coreProperties>
</file>